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 </w:t>
      </w:r>
      <w:r w:rsidR="007C589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четвертом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</w:t>
      </w:r>
      <w:r w:rsidR="0087180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</w:t>
      </w:r>
      <w:r w:rsidR="0074305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2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F71C64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>ацию района в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743056">
        <w:rPr>
          <w:rFonts w:ascii="Tahoma" w:eastAsia="Times New Roman" w:hAnsi="Tahoma" w:cs="Tahoma"/>
          <w:color w:val="333333"/>
          <w:sz w:val="24"/>
          <w:szCs w:val="24"/>
        </w:rPr>
        <w:t>четвертом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Обращения граждан рассматриваются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пального района в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871808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743056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1823F0">
        <w:rPr>
          <w:rFonts w:ascii="Tahoma" w:eastAsia="Times New Roman" w:hAnsi="Tahoma" w:cs="Tahoma"/>
          <w:color w:val="333333"/>
          <w:sz w:val="24"/>
          <w:szCs w:val="24"/>
        </w:rPr>
        <w:t>42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</w:t>
      </w:r>
      <w:r w:rsidR="00E824E8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 (в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603F89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823F0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823F0">
        <w:rPr>
          <w:rFonts w:ascii="Tahoma" w:eastAsia="Times New Roman" w:hAnsi="Tahoma" w:cs="Tahoma"/>
          <w:color w:val="333333"/>
          <w:sz w:val="24"/>
          <w:szCs w:val="24"/>
        </w:rPr>
        <w:t>35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й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, в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1823F0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7C589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1823F0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1823F0">
        <w:rPr>
          <w:rFonts w:ascii="Tahoma" w:eastAsia="Times New Roman" w:hAnsi="Tahoma" w:cs="Tahoma"/>
          <w:color w:val="333333"/>
          <w:sz w:val="24"/>
          <w:szCs w:val="24"/>
        </w:rPr>
        <w:t>я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1823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DE556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</w:t>
            </w:r>
            <w:r w:rsidR="001823F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1823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823F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603F89" w:rsidP="001823F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 w:rsidR="00C316F7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1823F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1823F0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136A85" w:rsidRDefault="001823F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1823F0" w:rsidRPr="00136A85" w:rsidRDefault="001823F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1823F0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136A85" w:rsidRDefault="001823F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1823F0" w:rsidRPr="00136A85" w:rsidRDefault="001823F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DE556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 (35,7%)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28 (80%)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 (57,6%)</w:t>
            </w:r>
          </w:p>
        </w:tc>
      </w:tr>
      <w:tr w:rsidR="001823F0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136A85" w:rsidRDefault="001823F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DE556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19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45,3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7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(21,2 %)</w:t>
            </w:r>
          </w:p>
        </w:tc>
      </w:tr>
      <w:tr w:rsidR="001823F0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136A85" w:rsidRDefault="001823F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8 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  <w:r w:rsidRPr="00093F61">
              <w:rPr>
                <w:rFonts w:ascii="Tahoma" w:eastAsia="Times New Roman" w:hAnsi="Tahoma" w:cs="Tahoma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823F0" w:rsidRPr="00E17579" w:rsidRDefault="001823F0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(21,2 %)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857FBD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квартале 202</w:t>
      </w:r>
      <w:r w:rsidR="00743056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0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</w:t>
      </w:r>
      <w:r w:rsidR="00706DF8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ое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</w:t>
      </w:r>
      <w:r w:rsidR="00DD2C52">
        <w:rPr>
          <w:rFonts w:ascii="Tahoma" w:eastAsia="Times New Roman" w:hAnsi="Tahoma" w:cs="Tahoma"/>
          <w:color w:val="333333"/>
          <w:sz w:val="24"/>
          <w:szCs w:val="24"/>
        </w:rPr>
        <w:t>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E53A1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E17579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743056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</w:t>
      </w:r>
      <w:r w:rsidR="00466FC5">
        <w:rPr>
          <w:rFonts w:ascii="Tahoma" w:eastAsia="Times New Roman" w:hAnsi="Tahoma" w:cs="Tahoma"/>
          <w:color w:val="333333"/>
          <w:sz w:val="24"/>
          <w:szCs w:val="24"/>
        </w:rPr>
        <w:t>5</w:t>
      </w:r>
      <w:r w:rsidR="00F71C6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</w:t>
      </w:r>
      <w:r w:rsidR="00466FC5">
        <w:rPr>
          <w:rFonts w:ascii="Tahoma" w:eastAsia="Times New Roman" w:hAnsi="Tahoma" w:cs="Tahoma"/>
          <w:color w:val="333333"/>
          <w:sz w:val="24"/>
          <w:szCs w:val="24"/>
        </w:rPr>
        <w:t>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lastRenderedPageBreak/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093F6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466FC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466FC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466FC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093F61" w:rsidRPr="00387EEE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093F61" w:rsidP="00093F6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</w:tr>
      <w:tr w:rsidR="00466FC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36A85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93BB3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466FC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36A85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93BB3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466FC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36A85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93BB3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466FC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36A85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93BB3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466FC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36A85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93BB3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466FC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36A85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Default="00466FC5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  <w:p w:rsidR="00466FC5" w:rsidRPr="00193BB3" w:rsidRDefault="00466FC5" w:rsidP="0005683F">
            <w:pPr>
              <w:spacing w:before="107" w:after="0" w:line="240" w:lineRule="auto"/>
              <w:ind w:firstLine="161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466FC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36A85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93BB3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466FC5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36A85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F71C64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466FC5" w:rsidRPr="00193BB3" w:rsidRDefault="00466FC5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3D58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A073A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706D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A073A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Pr="00387EE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3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3D58D0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A073A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A073A1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136A85" w:rsidRDefault="00A073A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EC3F70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A073A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A073A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,8</w:t>
            </w:r>
            <w:r w:rsidR="00A073A1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 w:rsidR="00A073A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1(2,8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17579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 (6%)</w:t>
            </w:r>
          </w:p>
        </w:tc>
      </w:tr>
      <w:tr w:rsidR="00A073A1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136A85" w:rsidRDefault="00A073A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A073A1" w:rsidP="00DE556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EC3F7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22,9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17579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 (15,2%)</w:t>
            </w:r>
          </w:p>
        </w:tc>
      </w:tr>
      <w:tr w:rsidR="00A073A1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136A85" w:rsidRDefault="00A073A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A073A1" w:rsidP="00DE556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EC3F7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 w:rsidR="00EC3F7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23,8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42,9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17579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 (45,5 %)</w:t>
            </w:r>
          </w:p>
        </w:tc>
      </w:tr>
      <w:tr w:rsidR="00A073A1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136A85" w:rsidRDefault="00A073A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A073A1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EC3F7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(2</w:t>
            </w:r>
            <w:r w:rsidR="00EC3F7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6,2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(2,8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17579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 (15,2%)</w:t>
            </w:r>
          </w:p>
        </w:tc>
      </w:tr>
      <w:tr w:rsidR="00A073A1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136A85" w:rsidRDefault="00A073A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EC3F70" w:rsidP="00706DF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</w:t>
            </w:r>
            <w:r w:rsidR="00A073A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26,2</w:t>
            </w:r>
            <w:r w:rsidR="00A073A1"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F482E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(28,6</w:t>
            </w:r>
            <w:r w:rsidRPr="00EF482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73A1" w:rsidRPr="00E17579" w:rsidRDefault="00A073A1" w:rsidP="0005683F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 (18,1%)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C947AA"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F71C64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D58D0" w:rsidRPr="00C947AA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Pr="00C947AA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17579" w:rsidRPr="00C947AA">
        <w:rPr>
          <w:rFonts w:ascii="Tahoma" w:eastAsia="Times New Roman" w:hAnsi="Tahoma" w:cs="Tahoma"/>
          <w:color w:val="333333"/>
          <w:sz w:val="24"/>
          <w:szCs w:val="24"/>
        </w:rPr>
        <w:t>202</w:t>
      </w:r>
      <w:r w:rsidR="00743056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</w:t>
      </w:r>
      <w:r w:rsidR="00A15D30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F41D6C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 w:rsidRPr="00C947AA">
        <w:rPr>
          <w:rFonts w:ascii="Tahoma" w:eastAsia="Times New Roman" w:hAnsi="Tahoma" w:cs="Tahoma"/>
          <w:color w:val="333333"/>
          <w:sz w:val="24"/>
          <w:szCs w:val="24"/>
        </w:rPr>
        <w:t>у</w:t>
      </w:r>
      <w:r w:rsidR="00DE5568">
        <w:rPr>
          <w:rFonts w:ascii="Tahoma" w:eastAsia="Times New Roman" w:hAnsi="Tahoma" w:cs="Tahoma"/>
          <w:color w:val="333333"/>
          <w:sz w:val="24"/>
          <w:szCs w:val="24"/>
        </w:rPr>
        <w:t>величения</w:t>
      </w:r>
      <w:r w:rsidR="00136A85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0931FD" w:rsidRPr="00C947AA">
        <w:rPr>
          <w:rFonts w:ascii="Tahoma" w:eastAsia="Times New Roman" w:hAnsi="Tahoma" w:cs="Tahoma"/>
          <w:color w:val="333333"/>
          <w:sz w:val="24"/>
          <w:szCs w:val="24"/>
        </w:rPr>
        <w:t>о</w:t>
      </w:r>
      <w:r w:rsidR="00C947AA" w:rsidRPr="00C947AA"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по вопросам </w:t>
      </w:r>
      <w:r w:rsidR="00F41D6C">
        <w:rPr>
          <w:rFonts w:ascii="Tahoma" w:eastAsia="Times New Roman" w:hAnsi="Tahoma" w:cs="Tahoma"/>
          <w:color w:val="333333"/>
          <w:sz w:val="24"/>
          <w:szCs w:val="24"/>
        </w:rPr>
        <w:t>обороны и безопасности и уменьшения количества обращений по вопросам экономики</w:t>
      </w:r>
      <w:r w:rsidR="00DE5568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4A6437" w:rsidRPr="004A6437" w:rsidRDefault="00F71C64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Обращения граждан в </w:t>
      </w:r>
      <w:r w:rsidR="003D58D0" w:rsidRPr="004A6437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gramStart"/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>кварт</w:t>
      </w:r>
      <w:r w:rsidR="00E17579" w:rsidRPr="004A6437">
        <w:rPr>
          <w:rFonts w:ascii="Tahoma" w:eastAsia="Times New Roman" w:hAnsi="Tahoma" w:cs="Tahoma"/>
          <w:color w:val="333333"/>
          <w:sz w:val="24"/>
          <w:szCs w:val="24"/>
        </w:rPr>
        <w:t>але</w:t>
      </w:r>
      <w:proofErr w:type="gramEnd"/>
      <w:r w:rsidR="00E17579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202</w:t>
      </w:r>
      <w:r w:rsidR="00743056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</w:t>
      </w:r>
      <w:r w:rsidR="00310746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 запроса данных из архивов, 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строительства и реконструкции дорог, содержания общего имущества, </w:t>
      </w:r>
      <w:r w:rsidR="004A6437">
        <w:rPr>
          <w:rFonts w:ascii="Tahoma" w:eastAsia="Times New Roman" w:hAnsi="Tahoma" w:cs="Tahoma"/>
          <w:color w:val="333333"/>
          <w:sz w:val="24"/>
          <w:szCs w:val="24"/>
        </w:rPr>
        <w:t xml:space="preserve">вопросов 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 xml:space="preserve">частного домовладения, </w:t>
      </w:r>
      <w:r w:rsidR="00743056">
        <w:rPr>
          <w:rFonts w:ascii="Tahoma" w:eastAsia="Times New Roman" w:hAnsi="Tahoma" w:cs="Tahoma"/>
          <w:color w:val="333333"/>
          <w:sz w:val="24"/>
          <w:szCs w:val="24"/>
        </w:rPr>
        <w:t>материальной помощи семьям мобилизованных</w:t>
      </w:r>
      <w:r w:rsidR="007B4DC4">
        <w:rPr>
          <w:rFonts w:ascii="Tahoma" w:eastAsia="Times New Roman" w:hAnsi="Tahoma" w:cs="Tahoma"/>
          <w:color w:val="333333"/>
          <w:sz w:val="24"/>
          <w:szCs w:val="24"/>
        </w:rPr>
        <w:t>, опиловки деревьев</w:t>
      </w:r>
      <w:r w:rsidR="007247AC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 w:rsidR="007247AC" w:rsidRPr="00136A85">
        <w:rPr>
          <w:rFonts w:ascii="Tahoma" w:eastAsia="Times New Roman" w:hAnsi="Tahoma" w:cs="Tahoma"/>
          <w:color w:val="333333"/>
          <w:sz w:val="24"/>
          <w:szCs w:val="24"/>
        </w:rPr>
        <w:t>изменения графика движения</w:t>
      </w:r>
      <w:r w:rsidR="007247AC">
        <w:rPr>
          <w:rFonts w:ascii="Tahoma" w:eastAsia="Times New Roman" w:hAnsi="Tahoma" w:cs="Tahoma"/>
          <w:color w:val="333333"/>
          <w:sz w:val="24"/>
          <w:szCs w:val="24"/>
        </w:rPr>
        <w:t xml:space="preserve"> пассажирского транспорта</w:t>
      </w:r>
      <w:r w:rsidR="004A6437" w:rsidRPr="004A6437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4A6437" w:rsidRDefault="004A6437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24"/>
          <w:szCs w:val="24"/>
          <w:highlight w:val="red"/>
        </w:rPr>
      </w:pP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914F6E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4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232B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</w:t>
            </w:r>
            <w:r w:rsidR="00232BA4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D58D0" w:rsidRPr="00387EEE" w:rsidRDefault="003D58D0" w:rsidP="003D58D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2A332B" w:rsidRDefault="003D58D0" w:rsidP="00232BA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  <w:r w:rsidR="00DE556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232BA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Pr="00387EEE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года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  <w:r w:rsidR="005366EF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5366EF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2A332B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232BA4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136A85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32BA4" w:rsidRPr="00E17579" w:rsidRDefault="00232BA4" w:rsidP="0005683F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A23130" w:rsidRDefault="00A23130"/>
    <w:sectPr w:rsidR="00A23130" w:rsidSect="0009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61962"/>
    <w:rsid w:val="000931FD"/>
    <w:rsid w:val="00093F61"/>
    <w:rsid w:val="00130C1D"/>
    <w:rsid w:val="00136A85"/>
    <w:rsid w:val="001823F0"/>
    <w:rsid w:val="001B6CB7"/>
    <w:rsid w:val="00232BA4"/>
    <w:rsid w:val="00256299"/>
    <w:rsid w:val="00272897"/>
    <w:rsid w:val="002A332B"/>
    <w:rsid w:val="002A54B4"/>
    <w:rsid w:val="002D46C2"/>
    <w:rsid w:val="002E7AE4"/>
    <w:rsid w:val="002F4631"/>
    <w:rsid w:val="00310746"/>
    <w:rsid w:val="00380B60"/>
    <w:rsid w:val="003C77EE"/>
    <w:rsid w:val="003D58D0"/>
    <w:rsid w:val="003E382B"/>
    <w:rsid w:val="003E738F"/>
    <w:rsid w:val="00466FC5"/>
    <w:rsid w:val="004A6437"/>
    <w:rsid w:val="00512E16"/>
    <w:rsid w:val="005366EF"/>
    <w:rsid w:val="00562F2A"/>
    <w:rsid w:val="005A48A8"/>
    <w:rsid w:val="005D12CF"/>
    <w:rsid w:val="005E6B12"/>
    <w:rsid w:val="00603F89"/>
    <w:rsid w:val="00642A96"/>
    <w:rsid w:val="00706DF8"/>
    <w:rsid w:val="00707CC5"/>
    <w:rsid w:val="007247AC"/>
    <w:rsid w:val="00743056"/>
    <w:rsid w:val="007A6A7E"/>
    <w:rsid w:val="007B4DC4"/>
    <w:rsid w:val="007C5891"/>
    <w:rsid w:val="007D63B4"/>
    <w:rsid w:val="007E53A1"/>
    <w:rsid w:val="00857FBD"/>
    <w:rsid w:val="00871808"/>
    <w:rsid w:val="008A2EFC"/>
    <w:rsid w:val="00914F6E"/>
    <w:rsid w:val="00927DB7"/>
    <w:rsid w:val="009326B0"/>
    <w:rsid w:val="00971F44"/>
    <w:rsid w:val="009B5B84"/>
    <w:rsid w:val="009D238D"/>
    <w:rsid w:val="00A073A1"/>
    <w:rsid w:val="00A15D30"/>
    <w:rsid w:val="00A23130"/>
    <w:rsid w:val="00A4303D"/>
    <w:rsid w:val="00AA102B"/>
    <w:rsid w:val="00B0087F"/>
    <w:rsid w:val="00B16435"/>
    <w:rsid w:val="00BC7942"/>
    <w:rsid w:val="00BE1904"/>
    <w:rsid w:val="00C316F7"/>
    <w:rsid w:val="00C947AA"/>
    <w:rsid w:val="00CC0E70"/>
    <w:rsid w:val="00CC7B84"/>
    <w:rsid w:val="00CE4E3E"/>
    <w:rsid w:val="00D04129"/>
    <w:rsid w:val="00D237B4"/>
    <w:rsid w:val="00D472B4"/>
    <w:rsid w:val="00D712F1"/>
    <w:rsid w:val="00D7403C"/>
    <w:rsid w:val="00DC2E76"/>
    <w:rsid w:val="00DD2C52"/>
    <w:rsid w:val="00DD2D67"/>
    <w:rsid w:val="00DE5568"/>
    <w:rsid w:val="00E01504"/>
    <w:rsid w:val="00E17579"/>
    <w:rsid w:val="00E25FAB"/>
    <w:rsid w:val="00E30BFD"/>
    <w:rsid w:val="00E824E8"/>
    <w:rsid w:val="00EA3705"/>
    <w:rsid w:val="00EC3F70"/>
    <w:rsid w:val="00EF482E"/>
    <w:rsid w:val="00F03584"/>
    <w:rsid w:val="00F30C3E"/>
    <w:rsid w:val="00F331CA"/>
    <w:rsid w:val="00F41D6C"/>
    <w:rsid w:val="00F71C64"/>
    <w:rsid w:val="00F750BD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06-E51B-449C-8712-B14BEF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25</cp:revision>
  <dcterms:created xsi:type="dcterms:W3CDTF">2021-01-13T06:39:00Z</dcterms:created>
  <dcterms:modified xsi:type="dcterms:W3CDTF">2022-12-30T05:59:00Z</dcterms:modified>
</cp:coreProperties>
</file>