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4"/>
        <w:jc w:val="righ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4"/>
        <w:jc w:val="center"/>
        <w:spacing w:line="295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Статистические данные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54"/>
        <w:jc w:val="center"/>
        <w:spacing w:line="295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 xml:space="preserve">I</w:t>
      </w:r>
      <w:r>
        <w:rPr>
          <w:b/>
          <w:sz w:val="28"/>
          <w:szCs w:val="28"/>
        </w:rPr>
        <w:t xml:space="preserve"> квартал 20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4 года </w:t>
      </w:r>
      <w:r>
        <w:rPr>
          <w:b/>
          <w:sz w:val="28"/>
          <w:szCs w:val="28"/>
        </w:rPr>
      </w:r>
    </w:p>
    <w:p>
      <w:pPr>
        <w:pStyle w:val="654"/>
        <w:jc w:val="both"/>
        <w:spacing w:line="295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Бутурлиновского муниципального района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54"/>
        <w:jc w:val="center"/>
        <w:spacing w:line="295" w:lineRule="auto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-69849</wp:posOffset>
                </wp:positionH>
                <wp:positionV relativeFrom="paragraph">
                  <wp:posOffset>48260</wp:posOffset>
                </wp:positionV>
                <wp:extent cx="5915025" cy="28575"/>
                <wp:effectExtent l="0" t="0" r="0" b="0"/>
                <wp:wrapNone/>
                <wp:docPr id="1" name="_x0000_s1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15025" cy="28575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</a:gdLst>
                          <a:ahLst/>
                          <a:cxnLst/>
                          <a:rect l="0" t="0" r="r" b="b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style="position:absolute;z-index:524288;o:allowoverlap:true;o:allowincell:true;mso-position-horizontal-relative:text;margin-left:-5.50pt;mso-position-horizontal:absolute;mso-position-vertical-relative:text;margin-top:3.80pt;mso-position-vertical:absolute;width:465.75pt;height:2.25pt;mso-wrap-distance-left:9.00pt;mso-wrap-distance-top:0.00pt;mso-wrap-distance-right:9.00pt;mso-wrap-distance-bottom:0.00pt;visibility:visible;" path="m0,0l100000,100000e" coordsize="100000,100000" fillcolor="#FFFFFF" strokecolor="#000000">
                <v:path textboxrect="0,0,0,0"/>
              </v:shape>
            </w:pict>
          </mc:Fallback>
        </mc:AlternateContent>
      </w:r>
      <w:r>
        <w:rPr>
          <w:sz w:val="28"/>
          <w:szCs w:val="28"/>
          <w:vertAlign w:val="subscript"/>
        </w:rPr>
        <w:t xml:space="preserve"> (наимено</w:t>
      </w:r>
      <w:r>
        <w:rPr>
          <w:sz w:val="28"/>
          <w:szCs w:val="28"/>
          <w:vertAlign w:val="subscript"/>
        </w:rPr>
        <w:t xml:space="preserve">вание ОМСУ</w:t>
      </w:r>
      <w:r>
        <w:rPr>
          <w:sz w:val="28"/>
          <w:szCs w:val="28"/>
          <w:vertAlign w:val="subscript"/>
        </w:rPr>
        <w:t xml:space="preserve">)</w:t>
      </w:r>
      <w:r>
        <w:rPr>
          <w:sz w:val="28"/>
          <w:szCs w:val="28"/>
          <w:vertAlign w:val="subscript"/>
        </w:rPr>
      </w:r>
    </w:p>
    <w:p>
      <w:pPr>
        <w:pStyle w:val="654"/>
        <w:jc w:val="both"/>
        <w:spacing w:line="298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pStyle w:val="654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62/</w:t>
      </w:r>
      <w:r>
        <w:rPr>
          <w:sz w:val="28"/>
          <w:szCs w:val="28"/>
        </w:rPr>
        <w:t xml:space="preserve">76</w:t>
      </w:r>
      <w:r>
        <w:rPr>
          <w:sz w:val="28"/>
          <w:szCs w:val="28"/>
        </w:rPr>
      </w:r>
    </w:p>
    <w:p>
      <w:pPr>
        <w:pStyle w:val="654"/>
        <w:ind w:firstLine="709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Из них:</w:t>
      </w:r>
      <w:r>
        <w:rPr>
          <w:sz w:val="28"/>
          <w:szCs w:val="28"/>
        </w:rPr>
      </w:r>
    </w:p>
    <w:p>
      <w:pPr>
        <w:pStyle w:val="654"/>
        <w:numPr>
          <w:ilvl w:val="1"/>
          <w:numId w:val="6"/>
        </w:numPr>
        <w:ind w:left="0" w:firstLine="567"/>
        <w:jc w:val="both"/>
        <w:spacing w:line="298" w:lineRule="auto"/>
        <w:tabs>
          <w:tab w:val="num" w:pos="284" w:leader="none"/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>
        <w:rPr>
          <w:sz w:val="28"/>
          <w:szCs w:val="28"/>
        </w:rPr>
        <w:t xml:space="preserve">49/</w:t>
      </w:r>
      <w:r>
        <w:rPr>
          <w:sz w:val="28"/>
          <w:szCs w:val="28"/>
        </w:rPr>
        <w:t xml:space="preserve">56</w:t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в т.ч.:</w:t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1.1.1. Всего рассмотрено по существу (сумма граф поддержано, меры приняты, разъяснено, не поддержано) –</w:t>
      </w:r>
      <w:r>
        <w:rPr>
          <w:sz w:val="28"/>
          <w:szCs w:val="28"/>
        </w:rPr>
        <w:t xml:space="preserve">49/</w:t>
      </w:r>
      <w:r>
        <w:rPr>
          <w:sz w:val="28"/>
          <w:szCs w:val="28"/>
        </w:rPr>
        <w:t xml:space="preserve">56</w:t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поддержано + меры приняты) –</w:t>
      </w:r>
      <w:r>
        <w:rPr>
          <w:i/>
          <w:sz w:val="28"/>
          <w:szCs w:val="28"/>
        </w:rPr>
        <w:t xml:space="preserve">16/</w:t>
      </w:r>
      <w:r>
        <w:rPr>
          <w:i/>
          <w:sz w:val="28"/>
          <w:szCs w:val="28"/>
        </w:rPr>
        <w:t xml:space="preserve">25</w:t>
      </w:r>
      <w:r>
        <w:rPr>
          <w:i/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1.1.2.1. С результатом рассмотрения «поддержано»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10/</w:t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</w:t>
      </w:r>
      <w:r>
        <w:rPr>
          <w:sz w:val="28"/>
          <w:szCs w:val="28"/>
        </w:rPr>
        <w:t xml:space="preserve">6/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1.1.2.3. Поставлено на дополнительный контроль до принятия мер –</w:t>
      </w:r>
      <w:r>
        <w:rPr>
          <w:sz w:val="28"/>
          <w:szCs w:val="28"/>
        </w:rPr>
        <w:t xml:space="preserve">0/0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1.1.3. С результатом рассмотрения «разъяснено» –</w:t>
      </w:r>
      <w:r>
        <w:rPr>
          <w:sz w:val="28"/>
          <w:szCs w:val="28"/>
        </w:rPr>
        <w:t xml:space="preserve">33/</w:t>
      </w:r>
      <w:r>
        <w:rPr>
          <w:sz w:val="28"/>
          <w:szCs w:val="28"/>
        </w:rPr>
        <w:t xml:space="preserve">31</w:t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1.1.4. С результатом рассмотрения «не поддержано» –</w:t>
      </w:r>
      <w:r>
        <w:rPr>
          <w:sz w:val="28"/>
          <w:szCs w:val="28"/>
        </w:rPr>
        <w:t xml:space="preserve">0/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из них:</w:t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1.1.4.1. Обращение не целесообразно и необоснованно –</w:t>
      </w:r>
      <w:r>
        <w:rPr>
          <w:sz w:val="28"/>
          <w:szCs w:val="28"/>
        </w:rPr>
        <w:t xml:space="preserve">0/0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1.1.4.2. Выявлено бездействие должностных лиц –</w:t>
      </w:r>
      <w:r>
        <w:rPr>
          <w:sz w:val="28"/>
          <w:szCs w:val="28"/>
        </w:rPr>
        <w:t xml:space="preserve">0/0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1.1.5. С результатом рассмотрения «дан ответ автору» –</w:t>
      </w:r>
      <w:r>
        <w:rPr>
          <w:sz w:val="28"/>
          <w:szCs w:val="28"/>
        </w:rPr>
        <w:t xml:space="preserve">0/</w:t>
      </w:r>
      <w:r>
        <w:rPr>
          <w:sz w:val="28"/>
          <w:szCs w:val="28"/>
        </w:rPr>
        <w:t xml:space="preserve">0</w:t>
      </w:r>
      <w:r>
        <w:rPr>
          <w:i/>
          <w:sz w:val="28"/>
          <w:szCs w:val="28"/>
        </w:rPr>
      </w:r>
      <w:r>
        <w:rPr>
          <w:i/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1.1.6. С результатом рассмотрения «оставлено без ответа автору» –</w:t>
      </w:r>
      <w:r>
        <w:rPr>
          <w:sz w:val="28"/>
          <w:szCs w:val="28"/>
        </w:rPr>
        <w:t xml:space="preserve">0/0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1.1.7. Направлено по компетенции в иной орган –</w:t>
      </w:r>
      <w:r>
        <w:rPr>
          <w:sz w:val="28"/>
          <w:szCs w:val="28"/>
        </w:rPr>
        <w:t xml:space="preserve">0/0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1.1.8. Срок рассмотрения продлен –</w:t>
      </w:r>
      <w:r>
        <w:rPr>
          <w:sz w:val="28"/>
          <w:szCs w:val="28"/>
        </w:rPr>
        <w:t xml:space="preserve">0/0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1.1.9. Проверено комиссионно –</w:t>
      </w:r>
      <w:r>
        <w:rPr>
          <w:sz w:val="28"/>
          <w:szCs w:val="28"/>
        </w:rPr>
        <w:t xml:space="preserve">3/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1.1.10. Проверено с выездом на место –</w:t>
      </w:r>
      <w:r>
        <w:rPr>
          <w:sz w:val="28"/>
          <w:szCs w:val="28"/>
        </w:rPr>
        <w:t xml:space="preserve">6/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1.1.11. Рассмотрено с участием заявителя –</w:t>
      </w:r>
      <w:r>
        <w:rPr>
          <w:sz w:val="28"/>
          <w:szCs w:val="28"/>
        </w:rPr>
        <w:t xml:space="preserve">6/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1.1.12. Рассмотрено совместно с другими органами власти и органами местного самоуправления –</w:t>
      </w:r>
      <w:r>
        <w:rPr>
          <w:sz w:val="28"/>
          <w:szCs w:val="28"/>
        </w:rPr>
        <w:t xml:space="preserve">0/0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1.1.13. Количество обращений, по которым осуществлена «обратная связь» –</w:t>
      </w:r>
      <w:r>
        <w:rPr>
          <w:sz w:val="28"/>
          <w:szCs w:val="28"/>
        </w:rPr>
        <w:t xml:space="preserve">10/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1.1.14. Количество обращений, по которым приняты решения о переносе срока принятия мер по результатам «обратной связи» –</w:t>
      </w:r>
      <w:r>
        <w:rPr>
          <w:sz w:val="28"/>
          <w:szCs w:val="28"/>
        </w:rPr>
        <w:t xml:space="preserve">0/0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3/20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</w:t>
      </w:r>
      <w:r>
        <w:rPr>
          <w:sz w:val="28"/>
          <w:szCs w:val="28"/>
        </w:rPr>
        <w:t xml:space="preserve">0/0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</w:pPr>
      <w:r>
        <w:rPr>
          <w:sz w:val="28"/>
          <w:szCs w:val="28"/>
        </w:rPr>
        <w:t xml:space="preserve">1.2.2. Устных –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3/20</w:t>
      </w:r>
      <w:r>
        <w:rPr>
          <w:sz w:val="28"/>
          <w:szCs w:val="28"/>
        </w:rPr>
      </w:r>
      <w:r/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1.2.3. Принято в режиме ВКС –</w:t>
      </w:r>
      <w:r>
        <w:rPr>
          <w:sz w:val="28"/>
          <w:szCs w:val="28"/>
        </w:rPr>
        <w:t xml:space="preserve">0/0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поддержано + меры приняты) –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/</w:t>
      </w:r>
      <w:r>
        <w:rPr>
          <w:i/>
          <w:sz w:val="28"/>
          <w:szCs w:val="28"/>
        </w:rPr>
        <w:t xml:space="preserve">2</w:t>
      </w:r>
      <w:r>
        <w:rPr>
          <w:i/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1.2.4.1. С результатом рассмотрения «поддержано»</w:t>
      </w:r>
      <w:r>
        <w:rPr>
          <w:b/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2/1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</w:t>
      </w:r>
      <w:r>
        <w:rPr>
          <w:sz w:val="28"/>
          <w:szCs w:val="28"/>
        </w:rPr>
        <w:t xml:space="preserve">1/1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>
        <w:rPr>
          <w:sz w:val="28"/>
          <w:szCs w:val="28"/>
        </w:rPr>
        <w:t xml:space="preserve">10/18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1.2.6. С результатом рассмотрения «не поддержано» –</w:t>
      </w:r>
      <w:r>
        <w:rPr>
          <w:sz w:val="28"/>
          <w:szCs w:val="28"/>
        </w:rPr>
        <w:t xml:space="preserve">0/0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1.2.7. С результатом рассмотрения «дан ответ автору» –</w:t>
      </w:r>
      <w:r>
        <w:rPr>
          <w:sz w:val="28"/>
          <w:szCs w:val="28"/>
        </w:rPr>
        <w:t xml:space="preserve">0/0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>
        <w:rPr>
          <w:sz w:val="28"/>
          <w:szCs w:val="28"/>
        </w:rPr>
        <w:t xml:space="preserve">0/0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>
        <w:rPr>
          <w:sz w:val="28"/>
          <w:szCs w:val="28"/>
        </w:rPr>
        <w:t xml:space="preserve">0/0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>
        <w:rPr>
          <w:sz w:val="28"/>
          <w:szCs w:val="28"/>
        </w:rPr>
        <w:t xml:space="preserve">0/0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1.6. Количество повторных обращений –</w:t>
      </w:r>
      <w:r>
        <w:rPr>
          <w:sz w:val="28"/>
          <w:szCs w:val="28"/>
        </w:rPr>
        <w:t xml:space="preserve">0/0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1.7. Всего поступило обращений, содержащих информацию о фактах коррупции, –</w:t>
      </w:r>
      <w:r>
        <w:rPr>
          <w:sz w:val="28"/>
          <w:szCs w:val="28"/>
        </w:rPr>
        <w:t xml:space="preserve">0/0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  <w:r>
        <w:rPr>
          <w:sz w:val="28"/>
          <w:szCs w:val="28"/>
        </w:rPr>
      </w:r>
    </w:p>
    <w:p>
      <w:pPr>
        <w:pStyle w:val="654"/>
        <w:ind w:left="567"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1.7.1. рассмотрено –</w:t>
      </w:r>
      <w:r>
        <w:rPr>
          <w:sz w:val="28"/>
          <w:szCs w:val="28"/>
        </w:rPr>
        <w:t xml:space="preserve">0/0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4"/>
        <w:ind w:left="567"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1.7.2. переадресовано по компетенции в другой орган государственной власти –</w:t>
      </w:r>
      <w:r>
        <w:rPr>
          <w:sz w:val="28"/>
          <w:szCs w:val="28"/>
        </w:rPr>
        <w:t xml:space="preserve">0/0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4"/>
        <w:ind w:left="567" w:firstLine="567"/>
        <w:jc w:val="both"/>
        <w:spacing w:line="298" w:lineRule="auto"/>
        <w:tabs>
          <w:tab w:val="num" w:pos="18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>
        <w:rPr>
          <w:sz w:val="28"/>
          <w:szCs w:val="28"/>
        </w:rPr>
        <w:t xml:space="preserve">0/0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>
        <w:rPr>
          <w:sz w:val="28"/>
          <w:szCs w:val="28"/>
        </w:rPr>
        <w:t xml:space="preserve">0/0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4"/>
        <w:ind w:firstLine="567"/>
        <w:jc w:val="both"/>
        <w:spacing w:line="298" w:lineRule="auto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 Конкретные примеры, отражающие результативность рассмотрения письме</w:t>
      </w:r>
      <w:r>
        <w:rPr>
          <w:sz w:val="28"/>
          <w:szCs w:val="28"/>
        </w:rPr>
        <w:t xml:space="preserve">нных и устных обращений граждан.</w:t>
      </w:r>
      <w:r>
        <w:rPr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70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SchoolBook">
    <w:panose1 w:val="05050102010205020202"/>
  </w:font>
  <w:font w:name="Arial Narrow">
    <w:panose1 w:val="020B0606020202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67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95" w:hanging="495"/>
        <w:tabs>
          <w:tab w:val="num" w:pos="495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855" w:hanging="720"/>
        <w:tabs>
          <w:tab w:val="num" w:pos="1855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3960" w:hanging="720"/>
        <w:tabs>
          <w:tab w:val="num" w:pos="396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940" w:hanging="1080"/>
        <w:tabs>
          <w:tab w:val="num" w:pos="594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7560" w:hanging="1080"/>
        <w:tabs>
          <w:tab w:val="num" w:pos="75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9540" w:hanging="1440"/>
        <w:tabs>
          <w:tab w:val="num" w:pos="95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1520" w:hanging="1800"/>
        <w:tabs>
          <w:tab w:val="num" w:pos="1152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3140" w:hanging="1800"/>
        <w:tabs>
          <w:tab w:val="num" w:pos="131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5120" w:hanging="2160"/>
        <w:tabs>
          <w:tab w:val="num" w:pos="1512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8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2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95" w:hanging="495"/>
        <w:tabs>
          <w:tab w:val="num" w:pos="495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4"/>
    <w:next w:val="654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54"/>
    <w:next w:val="654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4"/>
    <w:next w:val="65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4"/>
    <w:next w:val="65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4"/>
    <w:next w:val="65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4"/>
    <w:next w:val="65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4"/>
    <w:next w:val="65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4"/>
    <w:next w:val="65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4"/>
    <w:next w:val="65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4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54"/>
    <w:next w:val="65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54"/>
    <w:next w:val="65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54"/>
    <w:next w:val="65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4"/>
    <w:next w:val="65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54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54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54"/>
    <w:next w:val="65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5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5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54"/>
    <w:next w:val="65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4"/>
    <w:next w:val="65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4"/>
    <w:next w:val="65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4"/>
    <w:next w:val="65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4"/>
    <w:next w:val="65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4"/>
    <w:next w:val="65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4"/>
    <w:next w:val="65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4"/>
    <w:next w:val="65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4"/>
    <w:next w:val="65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4"/>
    <w:next w:val="654"/>
    <w:uiPriority w:val="99"/>
    <w:unhideWhenUsed/>
    <w:pPr>
      <w:spacing w:after="0" w:afterAutospacing="0"/>
    </w:pPr>
  </w:style>
  <w:style w:type="paragraph" w:styleId="654" w:default="1">
    <w:name w:val="Normal"/>
    <w:next w:val="654"/>
    <w:link w:val="654"/>
    <w:qFormat/>
    <w:rPr>
      <w:sz w:val="24"/>
      <w:szCs w:val="24"/>
      <w:lang w:val="ru-RU" w:eastAsia="ru-RU" w:bidi="ar-SA"/>
    </w:rPr>
  </w:style>
  <w:style w:type="paragraph" w:styleId="655">
    <w:name w:val="Заголовок 1"/>
    <w:basedOn w:val="654"/>
    <w:next w:val="656"/>
    <w:link w:val="654"/>
    <w:qFormat/>
    <w:pPr>
      <w:keepLines/>
      <w:keepNext/>
      <w:spacing w:before="240"/>
      <w:outlineLvl w:val="0"/>
    </w:pPr>
    <w:rPr>
      <w:rFonts w:ascii="Arial Narrow" w:hAnsi="Arial Narrow"/>
      <w:b/>
      <w:bCs/>
      <w:i/>
      <w:iCs/>
      <w:color w:val="000000"/>
      <w:spacing w:val="20"/>
      <w:sz w:val="22"/>
      <w:szCs w:val="22"/>
    </w:rPr>
  </w:style>
  <w:style w:type="paragraph" w:styleId="656">
    <w:name w:val="Заголовок 2"/>
    <w:basedOn w:val="654"/>
    <w:next w:val="654"/>
    <w:link w:val="654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57">
    <w:name w:val="Заголовок 3"/>
    <w:basedOn w:val="654"/>
    <w:next w:val="657"/>
    <w:link w:val="654"/>
    <w:qFormat/>
    <w:pPr>
      <w:keepNext/>
      <w:spacing w:before="120"/>
      <w:outlineLvl w:val="2"/>
    </w:pPr>
    <w:rPr>
      <w:rFonts w:ascii="Arial" w:hAnsi="Arial"/>
      <w:i/>
      <w:iCs/>
      <w:color w:val="000000"/>
      <w:sz w:val="20"/>
      <w:szCs w:val="20"/>
      <w:u w:val="single"/>
    </w:rPr>
  </w:style>
  <w:style w:type="paragraph" w:styleId="658">
    <w:name w:val="Заголовок 4"/>
    <w:basedOn w:val="654"/>
    <w:next w:val="654"/>
    <w:link w:val="654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59">
    <w:name w:val="Заголовок 8"/>
    <w:basedOn w:val="654"/>
    <w:next w:val="654"/>
    <w:link w:val="654"/>
    <w:qFormat/>
    <w:pPr>
      <w:spacing w:before="240" w:after="60"/>
      <w:outlineLvl w:val="7"/>
    </w:pPr>
    <w:rPr>
      <w:i/>
      <w:iCs/>
    </w:rPr>
  </w:style>
  <w:style w:type="character" w:styleId="660">
    <w:name w:val="Основной шрифт абзаца"/>
    <w:next w:val="660"/>
    <w:link w:val="654"/>
    <w:semiHidden/>
  </w:style>
  <w:style w:type="table" w:styleId="661">
    <w:name w:val="Обычная таблица"/>
    <w:next w:val="661"/>
    <w:link w:val="654"/>
    <w:semiHidden/>
    <w:tblPr/>
  </w:style>
  <w:style w:type="numbering" w:styleId="662">
    <w:name w:val="Нет списка"/>
    <w:next w:val="662"/>
    <w:link w:val="654"/>
    <w:semiHidden/>
  </w:style>
  <w:style w:type="paragraph" w:styleId="663">
    <w:name w:val="adres"/>
    <w:basedOn w:val="654"/>
    <w:next w:val="663"/>
    <w:link w:val="654"/>
    <w:pPr>
      <w:spacing w:before="60" w:line="180" w:lineRule="atLeast"/>
      <w:widowControl w:val="off"/>
    </w:pPr>
    <w:rPr>
      <w:rFonts w:ascii="Arial" w:hAnsi="Arial"/>
      <w:i/>
      <w:iCs/>
      <w:sz w:val="18"/>
      <w:szCs w:val="18"/>
    </w:rPr>
  </w:style>
  <w:style w:type="paragraph" w:styleId="664">
    <w:name w:val="Dolgnost"/>
    <w:basedOn w:val="654"/>
    <w:next w:val="664"/>
    <w:link w:val="654"/>
    <w:pPr>
      <w:spacing w:before="60" w:line="210" w:lineRule="atLeast"/>
      <w:widowControl w:val="off"/>
      <w:tabs>
        <w:tab w:val="left" w:pos="720" w:leader="none"/>
        <w:tab w:val="left" w:pos="4111" w:leader="none"/>
        <w:tab w:val="left" w:pos="4678" w:leader="none"/>
      </w:tabs>
    </w:pPr>
    <w:rPr>
      <w:rFonts w:ascii="Arial" w:hAnsi="Arial" w:cs="Arial"/>
      <w:i/>
      <w:iCs/>
      <w:spacing w:val="-20"/>
      <w:sz w:val="19"/>
      <w:szCs w:val="19"/>
    </w:rPr>
  </w:style>
  <w:style w:type="paragraph" w:styleId="665">
    <w:name w:val="FIO"/>
    <w:basedOn w:val="654"/>
    <w:next w:val="665"/>
    <w:link w:val="654"/>
    <w:pPr>
      <w:ind w:right="-79"/>
      <w:spacing w:after="60" w:line="210" w:lineRule="atLeast"/>
      <w:widowControl w:val="off"/>
      <w:tabs>
        <w:tab w:val="left" w:pos="720" w:leader="none"/>
        <w:tab w:val="left" w:pos="4253" w:leader="none"/>
        <w:tab w:val="left" w:pos="4962" w:leader="none"/>
      </w:tabs>
    </w:pPr>
    <w:rPr>
      <w:rFonts w:ascii="Arial" w:hAnsi="Arial" w:cs="Arial"/>
      <w:b/>
      <w:bCs/>
      <w:spacing w:val="-20"/>
      <w:sz w:val="20"/>
      <w:szCs w:val="20"/>
    </w:rPr>
  </w:style>
  <w:style w:type="paragraph" w:styleId="666">
    <w:name w:val="заголовок 3"/>
    <w:basedOn w:val="654"/>
    <w:next w:val="666"/>
    <w:link w:val="654"/>
    <w:pPr>
      <w:keepLines/>
      <w:keepNext/>
      <w:spacing w:before="170" w:line="220" w:lineRule="atLeast"/>
      <w:widowControl w:val="off"/>
      <w:pBdr>
        <w:bottom w:val="single" w:color="000000" w:sz="6" w:space="1"/>
      </w:pBdr>
    </w:pPr>
    <w:rPr>
      <w:rFonts w:ascii="Arial" w:hAnsi="Arial"/>
      <w:b/>
      <w:bCs/>
      <w:i/>
      <w:iCs/>
      <w:sz w:val="20"/>
      <w:szCs w:val="20"/>
    </w:rPr>
  </w:style>
  <w:style w:type="paragraph" w:styleId="667">
    <w:name w:val="заголовок2"/>
    <w:basedOn w:val="654"/>
    <w:next w:val="654"/>
    <w:link w:val="654"/>
    <w:pPr>
      <w:ind w:right="-82"/>
      <w:keepLines/>
      <w:keepNext/>
      <w:spacing w:before="180" w:after="60" w:line="190" w:lineRule="atLeast"/>
      <w:shd w:val="clear" w:color="auto" w:fill="c0c0c0"/>
      <w:widowControl w:val="off"/>
      <w:pBdr>
        <w:top w:val="single" w:color="000000" w:sz="6" w:space="0"/>
        <w:bottom w:val="single" w:color="000000" w:sz="6" w:space="0"/>
        <w:between w:val="single" w:color="000000" w:sz="6" w:space="0"/>
      </w:pBdr>
    </w:pPr>
    <w:rPr>
      <w:rFonts w:ascii="Arial" w:hAnsi="Arial"/>
      <w:b/>
      <w:bCs/>
      <w:i/>
      <w:iCs/>
      <w:sz w:val="20"/>
      <w:szCs w:val="20"/>
    </w:rPr>
  </w:style>
  <w:style w:type="paragraph" w:styleId="668">
    <w:name w:val="Обычный.Название подразделения"/>
    <w:next w:val="668"/>
    <w:link w:val="654"/>
    <w:rPr>
      <w:rFonts w:ascii="SchoolBook" w:hAnsi="SchoolBook"/>
      <w:sz w:val="28"/>
      <w:lang w:val="ru-RU" w:eastAsia="ru-RU" w:bidi="ar-SA"/>
    </w:rPr>
  </w:style>
  <w:style w:type="paragraph" w:styleId="669">
    <w:name w:val="Текст выноски"/>
    <w:basedOn w:val="654"/>
    <w:next w:val="669"/>
    <w:link w:val="654"/>
    <w:semiHidden/>
    <w:rPr>
      <w:rFonts w:ascii="Tahoma" w:hAnsi="Tahoma" w:cs="Tahoma"/>
      <w:sz w:val="16"/>
      <w:szCs w:val="16"/>
    </w:rPr>
  </w:style>
  <w:style w:type="paragraph" w:styleId="670">
    <w:name w:val="заголовок1"/>
    <w:basedOn w:val="654"/>
    <w:next w:val="654"/>
    <w:link w:val="654"/>
    <w:pPr>
      <w:ind w:right="-79"/>
      <w:keepLines/>
      <w:keepNext/>
      <w:spacing w:before="360" w:line="280" w:lineRule="atLeast"/>
      <w:widowControl w:val="off"/>
      <w:pBdr>
        <w:top w:val="single" w:color="000000" w:sz="6" w:space="0"/>
        <w:bottom w:val="single" w:color="000000" w:sz="6" w:space="0"/>
        <w:between w:val="single" w:color="000000" w:sz="6" w:space="0"/>
      </w:pBdr>
    </w:pPr>
    <w:rPr>
      <w:rFonts w:ascii="Arial" w:hAnsi="Arial"/>
      <w:b/>
      <w:bCs/>
      <w:i/>
      <w:iCs/>
      <w:sz w:val="22"/>
      <w:szCs w:val="22"/>
    </w:rPr>
  </w:style>
  <w:style w:type="table" w:styleId="671">
    <w:name w:val="Сетка таблицы"/>
    <w:basedOn w:val="661"/>
    <w:next w:val="671"/>
    <w:link w:val="654"/>
    <w:tblPr/>
  </w:style>
  <w:style w:type="character" w:styleId="672">
    <w:name w:val="Гиперссылка"/>
    <w:next w:val="672"/>
    <w:link w:val="654"/>
    <w:rPr>
      <w:color w:val="0000ff"/>
      <w:u w:val="single"/>
    </w:rPr>
  </w:style>
  <w:style w:type="paragraph" w:styleId="673">
    <w:name w:val="Верхний колонтитул"/>
    <w:basedOn w:val="654"/>
    <w:next w:val="673"/>
    <w:link w:val="674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74">
    <w:name w:val="Верхний колонтитул Знак"/>
    <w:next w:val="674"/>
    <w:link w:val="673"/>
    <w:uiPriority w:val="99"/>
    <w:rPr>
      <w:sz w:val="24"/>
      <w:szCs w:val="24"/>
    </w:rPr>
  </w:style>
  <w:style w:type="paragraph" w:styleId="675">
    <w:name w:val="Нижний колонтитул"/>
    <w:basedOn w:val="654"/>
    <w:next w:val="675"/>
    <w:link w:val="676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76">
    <w:name w:val="Нижний колонтитул Знак"/>
    <w:next w:val="676"/>
    <w:link w:val="675"/>
    <w:rPr>
      <w:sz w:val="24"/>
      <w:szCs w:val="24"/>
    </w:rPr>
  </w:style>
  <w:style w:type="character" w:styleId="677">
    <w:name w:val="Просмотренная гиперссылка"/>
    <w:next w:val="677"/>
    <w:link w:val="654"/>
    <w:rPr>
      <w:color w:val="800080"/>
      <w:u w:val="single"/>
    </w:rPr>
  </w:style>
  <w:style w:type="character" w:styleId="1032" w:default="1">
    <w:name w:val="Default Paragraph Font"/>
    <w:uiPriority w:val="1"/>
    <w:semiHidden/>
    <w:unhideWhenUsed/>
  </w:style>
  <w:style w:type="numbering" w:styleId="1033" w:default="1">
    <w:name w:val="No List"/>
    <w:uiPriority w:val="99"/>
    <w:semiHidden/>
    <w:unhideWhenUsed/>
  </w:style>
  <w:style w:type="table" w:styleId="103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adm</Company>
  <DocSecurity>0</DocSecurity>
  <HyperlinksChanged>false</HyperlinksChanged>
  <Manager>А.Н. Попов</Manager>
  <ScaleCrop>false</ScaleCrop>
  <SharedDoc>false</SharedDoc>
  <Template>Угловой правления.dot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tkazanina</dc:creator>
  <dc:description>Бланки созданы 16 июня 2003 года в сответствии с дополнениями и уточнениями (ГОСТ Р 6.30-2003)</dc:description>
  <cp:revision>63</cp:revision>
  <dcterms:created xsi:type="dcterms:W3CDTF">2019-04-01T14:44:00Z</dcterms:created>
  <dcterms:modified xsi:type="dcterms:W3CDTF">2024-04-01T07:13:51Z</dcterms:modified>
  <cp:category>к. 123</cp:category>
  <cp:version>786432</cp:version>
</cp:coreProperties>
</file>